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9B17B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Formação de Multiplicadores de Treinamento</w:t>
            </w:r>
          </w:p>
        </w:tc>
      </w:tr>
    </w:tbl>
    <w:p w:rsidR="005B032A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A0E23" w:rsidRPr="00135EBC" w:rsidRDefault="00135EBC" w:rsidP="00135EBC">
      <w:pPr>
        <w:spacing w:line="360" w:lineRule="auto"/>
        <w:ind w:firstLine="567"/>
        <w:rPr>
          <w:rFonts w:asciiTheme="minorHAnsi" w:hAnsiTheme="minorHAnsi"/>
        </w:rPr>
      </w:pPr>
      <w:r w:rsidRPr="00135EBC">
        <w:rPr>
          <w:b/>
        </w:rPr>
        <w:t>O case Abril e descobertas com o treinamento dos funcionários</w:t>
      </w:r>
    </w:p>
    <w:p w:rsid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>A Editora Abril apresentou o processo de elaboração e treinamento do Código de Conduta, que tinha o desafio de atender aos diversos colaboradores: jornalistas, publicitários, radialistas, designers, advogados, distribuidores, etc.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Forte"/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Style w:val="Forte"/>
          <w:rFonts w:asciiTheme="minorHAnsi" w:hAnsiTheme="minorHAnsi" w:cs="Arial"/>
          <w:color w:val="333333"/>
          <w:sz w:val="22"/>
          <w:szCs w:val="22"/>
        </w:rPr>
        <w:t xml:space="preserve">A estratégia adotada foi a de estabelecer um triângulo de atuação com as áreas </w:t>
      </w:r>
      <w:proofErr w:type="spellStart"/>
      <w:r w:rsidRPr="00135EBC">
        <w:rPr>
          <w:rStyle w:val="Forte"/>
          <w:rFonts w:asciiTheme="minorHAnsi" w:hAnsiTheme="minorHAnsi" w:cs="Arial"/>
          <w:color w:val="333333"/>
          <w:sz w:val="22"/>
          <w:szCs w:val="22"/>
        </w:rPr>
        <w:t>Compliance</w:t>
      </w:r>
      <w:proofErr w:type="spellEnd"/>
      <w:r w:rsidRPr="00135EBC">
        <w:rPr>
          <w:rStyle w:val="Forte"/>
          <w:rFonts w:asciiTheme="minorHAnsi" w:hAnsiTheme="minorHAnsi" w:cs="Arial"/>
          <w:color w:val="333333"/>
          <w:sz w:val="22"/>
          <w:szCs w:val="22"/>
        </w:rPr>
        <w:t>, Jurídico e Recursos Humanos (que envolvia, por sua vez, comunicação e treinamento).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>O primeiro passo do grupo foi o de defender a importância da adoção do Código de Conduta para os colaboradores. Para isso, foram usados argumentos como o fato do tema já ter sido debatido em mais de dez publicações da editora, com mais de 10 mil citações relacionadas ao tema de ética e conduta nas organizações.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As questões éticas, na editora, passaram a ser tratadas da seguinte forma: a área de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Compliance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faz o registro, análise e verificação; depois, o Comitê de Conduta é responsável pela discussão e reflexão sobre os temas, para a tomada de decisão; finalmente, a área de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Compliance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e Comunicações responde às questões e presta esclarecimentos gerais. Todas as questões são tratadas com sigilo, respeito, maturidade e equidade.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>A dinâmica de treinamento é dividida em duas fases, uma para gestores e outra para funcionários. Na primeira, são distribuídos cinco dilemas para cinco grupos (Assédio Moral, Assédio Sexual, Conflito de Interesse, Corrupção e Fraude). Em seguida, são apresentados trechos de artigos publicados nas revistas da casa (cases). Por fim, há um debate, os grupos apresentam seus temas e o instrutor busca a participação de todos.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Para os demais funcionários, é elaborado um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quizz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com perguntas relacionadas aos 5 dilemas éticos, com respostas do tipo </w:t>
      </w:r>
      <w:proofErr w:type="spellStart"/>
      <w:r w:rsidRPr="00135EBC">
        <w:rPr>
          <w:rFonts w:ascii="Arial" w:hAnsi="Arial" w:cs="Arial"/>
          <w:color w:val="333333"/>
          <w:sz w:val="22"/>
          <w:szCs w:val="22"/>
        </w:rPr>
        <w:t>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verdadeiro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>, falso ou depende</w:t>
      </w:r>
      <w:r w:rsidRPr="00135EBC">
        <w:rPr>
          <w:rFonts w:ascii="Arial" w:hAnsi="Arial" w:cs="Arial"/>
          <w:color w:val="333333"/>
          <w:sz w:val="22"/>
          <w:szCs w:val="22"/>
        </w:rPr>
        <w:t>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. Depois, há uma correção com os participantes, o que estimula a participação e esclarece dúvidas.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Após o treinamento, o Comitê passou a atuar com advertências verbais e escritas,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coachings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>, desligamentos, esclarecimentos de dúvidas, além de encaminhar questões para áreas pertinentes e avaliar o que era improcedente.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>A área de Recursos Humanos tornou-se responsável, também, por controlar o número de participantes do treinamento, os faltantes e os que ainda precisariam ser convidados. Além disso, passou a se autoavaliar constantemente junto aos colaboradores, para melhoria constante.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lastRenderedPageBreak/>
        <w:t xml:space="preserve">O Código foi implantado em 2007 e, no ano seguinte, quase 600 gestores haviam sido treinados. Entre 2009 e 2010, o número de empregados treinados chegou a 2,5 mil. Também foi criado um portal na intranet da empresa, com a cartilha do Código e a seção dedicada às perguntas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freqüentes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(FAQ), além da elaboração de um kit multiplicador (versão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pocket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do treinamento), entre outras ações de destaque.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>Os resultados para os funcionários foram a clareza em relação à cartilha do Código de Conduta e o esclarecimento sobre o processo de utilização do Canal de Comunicação. Já a empresa passou a ter conhecimento sobre desvios de processos e também das necessidades reais dos empregados, antes desconhecidas.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A gerente de </w:t>
      </w:r>
      <w:proofErr w:type="spellStart"/>
      <w:r w:rsidRPr="00135EBC">
        <w:rPr>
          <w:rFonts w:asciiTheme="minorHAnsi" w:hAnsiTheme="minorHAnsi" w:cs="Arial"/>
          <w:color w:val="333333"/>
          <w:sz w:val="22"/>
          <w:szCs w:val="22"/>
        </w:rPr>
        <w:t>Compliance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do grupo Abril, Josefa Lira, ressaltou: </w:t>
      </w:r>
      <w:r w:rsidRPr="00135EBC">
        <w:rPr>
          <w:rFonts w:ascii="Arial" w:hAnsi="Arial" w:cs="Arial"/>
          <w:color w:val="333333"/>
          <w:sz w:val="22"/>
          <w:szCs w:val="22"/>
        </w:rPr>
        <w:t>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A partir do momento em que criamos o Código de Conduta, passamos a conhecer algumas necessidades que os funcionários tinham e não tínhamos conhecimento. É preciso dar voz aos funcionários para otimizar os processos, a auditoria por si só não é só suficiente</w:t>
      </w:r>
      <w:r w:rsidRPr="00135EBC">
        <w:rPr>
          <w:rFonts w:ascii="Arial" w:hAnsi="Arial" w:cs="Arial"/>
          <w:color w:val="333333"/>
          <w:sz w:val="22"/>
          <w:szCs w:val="22"/>
        </w:rPr>
        <w:t>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Na avaliação do treinamento pelos participantes, 95% deles deram as notas </w:t>
      </w:r>
      <w:proofErr w:type="spellStart"/>
      <w:r w:rsidRPr="00135EBC">
        <w:rPr>
          <w:rFonts w:ascii="Arial" w:hAnsi="Arial" w:cs="Arial"/>
          <w:color w:val="333333"/>
          <w:sz w:val="22"/>
          <w:szCs w:val="22"/>
        </w:rPr>
        <w:t>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bom</w:t>
      </w:r>
      <w:proofErr w:type="spellEnd"/>
      <w:r w:rsidRPr="00135EBC">
        <w:rPr>
          <w:rFonts w:ascii="Arial" w:hAnsi="Arial" w:cs="Arial"/>
          <w:color w:val="333333"/>
          <w:sz w:val="22"/>
          <w:szCs w:val="22"/>
        </w:rPr>
        <w:t>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ou </w:t>
      </w:r>
      <w:proofErr w:type="spellStart"/>
      <w:r w:rsidRPr="00135EBC">
        <w:rPr>
          <w:rFonts w:ascii="Arial" w:hAnsi="Arial" w:cs="Arial"/>
          <w:color w:val="333333"/>
          <w:sz w:val="22"/>
          <w:szCs w:val="22"/>
        </w:rPr>
        <w:t>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muito</w:t>
      </w:r>
      <w:proofErr w:type="spellEnd"/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bom</w:t>
      </w:r>
      <w:r w:rsidRPr="00135EBC">
        <w:rPr>
          <w:rFonts w:ascii="Arial" w:hAnsi="Arial" w:cs="Arial"/>
          <w:color w:val="333333"/>
          <w:sz w:val="22"/>
          <w:szCs w:val="22"/>
        </w:rPr>
        <w:t>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 xml:space="preserve"> para a aplicabilidade dos conceitos e todos acharam que os exercícios motivaram a participação ou auxiliaram na compreensão dos conceitos. Em 2009, 90% dos participantes avaliaram o treinamento com notas entre 8 e 10.</w:t>
      </w:r>
    </w:p>
    <w:p w:rsid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Fonte: </w:t>
      </w:r>
      <w:r w:rsidRPr="00135EBC">
        <w:rPr>
          <w:rFonts w:asciiTheme="minorHAnsi" w:hAnsiTheme="minorHAnsi" w:cs="Arial"/>
          <w:color w:val="333333"/>
          <w:sz w:val="22"/>
          <w:szCs w:val="22"/>
        </w:rPr>
        <w:t>http://www.fnq.org.br/informe-se/artigos-e-entrevistas/cases-de-sucesso/o-case-abril-e-descobertas-com-o-treinamento-dos-funcionarios</w:t>
      </w:r>
    </w:p>
    <w:p w:rsidR="00135EBC" w:rsidRPr="00135EBC" w:rsidRDefault="00135EBC" w:rsidP="00135EB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9B17B2" w:rsidRPr="009B17B2" w:rsidRDefault="009B17B2" w:rsidP="00135EBC">
      <w:pPr>
        <w:spacing w:line="360" w:lineRule="auto"/>
        <w:ind w:firstLine="567"/>
        <w:rPr>
          <w:rFonts w:asciiTheme="minorHAnsi" w:hAnsiTheme="minorHAnsi" w:cstheme="minorHAnsi"/>
        </w:rPr>
      </w:pPr>
    </w:p>
    <w:sectPr w:rsidR="009B17B2" w:rsidRPr="009B17B2" w:rsidSect="005D29C9">
      <w:pgSz w:w="11906" w:h="16838" w:code="9"/>
      <w:pgMar w:top="1135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4F" w:rsidRDefault="007D494F" w:rsidP="00DC706D">
      <w:r>
        <w:separator/>
      </w:r>
    </w:p>
  </w:endnote>
  <w:endnote w:type="continuationSeparator" w:id="0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4F" w:rsidRDefault="007D494F" w:rsidP="00DC706D">
      <w:r>
        <w:separator/>
      </w:r>
    </w:p>
  </w:footnote>
  <w:footnote w:type="continuationSeparator" w:id="0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D65D2A"/>
    <w:multiLevelType w:val="hybridMultilevel"/>
    <w:tmpl w:val="9918D2A2"/>
    <w:lvl w:ilvl="0" w:tplc="0416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C706D"/>
    <w:rsid w:val="000165FA"/>
    <w:rsid w:val="000A65DB"/>
    <w:rsid w:val="00135EBC"/>
    <w:rsid w:val="0021384A"/>
    <w:rsid w:val="002400D7"/>
    <w:rsid w:val="0027413A"/>
    <w:rsid w:val="00376136"/>
    <w:rsid w:val="003E0B7D"/>
    <w:rsid w:val="00435995"/>
    <w:rsid w:val="00457F14"/>
    <w:rsid w:val="004B0D9C"/>
    <w:rsid w:val="004C6E31"/>
    <w:rsid w:val="005046D0"/>
    <w:rsid w:val="0052499B"/>
    <w:rsid w:val="005A22E2"/>
    <w:rsid w:val="005B032A"/>
    <w:rsid w:val="005B61BB"/>
    <w:rsid w:val="005D29C9"/>
    <w:rsid w:val="006615E1"/>
    <w:rsid w:val="006628F0"/>
    <w:rsid w:val="00676187"/>
    <w:rsid w:val="00694D2C"/>
    <w:rsid w:val="007167C1"/>
    <w:rsid w:val="00731B2D"/>
    <w:rsid w:val="007D494F"/>
    <w:rsid w:val="00803765"/>
    <w:rsid w:val="0090671D"/>
    <w:rsid w:val="009528A5"/>
    <w:rsid w:val="00963370"/>
    <w:rsid w:val="009B17B2"/>
    <w:rsid w:val="00A538D1"/>
    <w:rsid w:val="00A6553B"/>
    <w:rsid w:val="00A865EC"/>
    <w:rsid w:val="00CA0E23"/>
    <w:rsid w:val="00CD2C0A"/>
    <w:rsid w:val="00DB4456"/>
    <w:rsid w:val="00DC706D"/>
    <w:rsid w:val="00E74DA1"/>
    <w:rsid w:val="00E75344"/>
    <w:rsid w:val="00EC4E75"/>
    <w:rsid w:val="00F96F73"/>
    <w:rsid w:val="00FA4774"/>
    <w:rsid w:val="00FB173B"/>
    <w:rsid w:val="00F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53B"/>
    <w:rPr>
      <w:b/>
      <w:bCs/>
    </w:rPr>
  </w:style>
  <w:style w:type="table" w:styleId="Tabelacomgrade">
    <w:name w:val="Table Grid"/>
    <w:basedOn w:val="Tabelanormal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372C-DC98-4F96-95CA-8409B72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Alisson Tibeh</cp:lastModifiedBy>
  <cp:revision>26</cp:revision>
  <cp:lastPrinted>2013-11-07T18:36:00Z</cp:lastPrinted>
  <dcterms:created xsi:type="dcterms:W3CDTF">2013-11-07T18:29:00Z</dcterms:created>
  <dcterms:modified xsi:type="dcterms:W3CDTF">2015-10-06T03:14:00Z</dcterms:modified>
</cp:coreProperties>
</file>